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z w:val="34"/>
          <w:szCs w:val="34"/>
          <w:u w:val="single"/>
          <w:shd w:fill="76a5af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34"/>
          <w:szCs w:val="34"/>
          <w:u w:val="single"/>
          <w:shd w:fill="76a5af" w:val="clear"/>
          <w:rtl w:val="0"/>
        </w:rPr>
        <w:t xml:space="preserve">YEAR 2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  <w:b w:val="1"/>
          <w:sz w:val="24"/>
          <w:szCs w:val="24"/>
          <w:shd w:fill="76a5af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76a5af" w:val="clear"/>
          <w:rtl w:val="0"/>
        </w:rPr>
        <w:t xml:space="preserve">Education Specialist: Early Childhood Special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  <w:b w:val="1"/>
          <w:sz w:val="20"/>
          <w:szCs w:val="20"/>
          <w:shd w:fill="45818e" w:val="clear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76a5af" w:val="clear"/>
          <w:rtl w:val="0"/>
        </w:rPr>
        <w:t xml:space="preserve">Support Supervision Notes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shd w:fill="45818e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(Observation/Feedback)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Candidate: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School: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Supervisor:  </w:t>
        <w:tab/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Grade/Subject: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Date/Time: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Type of Visit: ☐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Scheduled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(Lesson Plan Required)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☐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Drop-in </w:t>
      </w: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(Drop-In Reflection Required)  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Lesson Plan: ☐ Yes  ☐ No</w:t>
        <w:tab/>
        <w:t xml:space="preserve">Unit Plan:  ☐ Yes  ☐ No</w:t>
        <w:tab/>
        <w:t xml:space="preserve">     Contact With Administrator:  ☐ Yes  ☐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2.5" w:type="dxa"/>
        <w:jc w:val="left"/>
        <w:tblInd w:w="-514.5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7.5"/>
        <w:gridCol w:w="1785"/>
        <w:gridCol w:w="1785"/>
        <w:gridCol w:w="1785"/>
        <w:gridCol w:w="1785"/>
        <w:gridCol w:w="1785"/>
        <w:tblGridChange w:id="0">
          <w:tblGrid>
            <w:gridCol w:w="1777.5"/>
            <w:gridCol w:w="1785"/>
            <w:gridCol w:w="1785"/>
            <w:gridCol w:w="1785"/>
            <w:gridCol w:w="1785"/>
            <w:gridCol w:w="178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Year 2 Focused CA Universal AND  Early Childhood Special Education Teaching Performance Expectations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Directions: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Check the TPEs that were evidenced by your observation.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TPE 1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Engaging and Supporting All Students in Learning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TPE 2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Creating and Maintaining Effective Environments for Student Learning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TPE 3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Understanding and Organizing Subject Matter for Student Learning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TPE 4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Planning Instruction and Designing Learning Experiences for All Students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TPE 5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Assessing Student Learning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TPE 6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Developing as a Professional Educator</w:t>
            </w:r>
          </w:p>
        </w:tc>
      </w:tr>
      <w:tr>
        <w:trPr>
          <w:cantSplit w:val="0"/>
          <w:trHeight w:val="1687.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ECSE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 EC1.1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 EC1.2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 EC1.3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 EC1.4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 EC1.5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ECSE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☐EC2.5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☐EC2.6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ECSE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☐EC3.2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ECSE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☐EC4.1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☐EC4.4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☐EC4.5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☐EC4.6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☐EC4.8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☐EC4.9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☐EC4.11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☐EC4.13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ECSE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☐EC5.5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        ECSE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☐EC6.1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☐EC6.9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☐EC6.11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☐EC6.12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☐EC6.13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☐EC6.14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☐EC6.15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☐EC6.16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☐EC6.18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* Denotes TPEs that are only observed in clinical fieldwork.</w:t>
            </w:r>
          </w:p>
        </w:tc>
      </w:tr>
    </w:tbl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left"/>
        <w:tblInd w:w="-5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1"/>
        <w:gridCol w:w="4049"/>
        <w:gridCol w:w="1350"/>
        <w:gridCol w:w="3970"/>
        <w:tblGridChange w:id="0">
          <w:tblGrid>
            <w:gridCol w:w="1341"/>
            <w:gridCol w:w="4049"/>
            <w:gridCol w:w="1350"/>
            <w:gridCol w:w="3970"/>
          </w:tblGrid>
        </w:tblGridChange>
      </w:tblGrid>
      <w:tr>
        <w:trPr>
          <w:cantSplit w:val="0"/>
          <w:trHeight w:val="764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Scripted Observation Notes and Feedback: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TPE: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Commendation(s) tied to Universal or Early Childhood Special Education TPE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TPE: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Recommendation(s) tied to Universal or Early Childhood Special Education TPE</w:t>
            </w:r>
          </w:p>
        </w:tc>
      </w:tr>
      <w:tr>
        <w:trPr>
          <w:cantSplit w:val="0"/>
          <w:trHeight w:val="746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12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 Number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Date of the next visit: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</w:r>
    </w:p>
    <w:p w:rsidR="00000000" w:rsidDel="00000000" w:rsidP="00000000" w:rsidRDefault="00000000" w:rsidRPr="00000000" w14:paraId="00000096">
      <w:pPr>
        <w:spacing w:after="120"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 Candidate’s Signature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97">
      <w:pPr>
        <w:spacing w:after="120" w:lin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Supervisor’s Signature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440" w:top="1440" w:left="1440" w:right="900" w:header="360" w:footer="30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ageBreakBefore w:val="0"/>
      <w:ind w:left="-810" w:right="-900" w:firstLine="0"/>
      <w:rPr/>
    </w:pPr>
    <w:r w:rsidDel="00000000" w:rsidR="00000000" w:rsidRPr="00000000">
      <w:rPr>
        <w:rtl w:val="0"/>
      </w:rPr>
      <w:t xml:space="preserve">Revised (6/20/22)</w:t>
      <w:tab/>
      <w:tab/>
      <w:tab/>
      <w:tab/>
      <w:tab/>
      <w:tab/>
      <w:tab/>
      <w:tab/>
      <w:tab/>
      <w:tab/>
      <w:tab/>
      <w:t xml:space="preserve">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pageBreakBefore w:val="0"/>
      <w:ind w:left="-990" w:right="450" w:firstLine="0"/>
      <w:rPr/>
    </w:pPr>
    <w:r w:rsidDel="00000000" w:rsidR="00000000" w:rsidRPr="00000000">
      <w:rPr/>
      <w:drawing>
        <wp:inline distB="114300" distT="114300" distL="114300" distR="114300">
          <wp:extent cx="7119938" cy="6047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ageBreakBefore w:val="0"/>
      <w:ind w:left="-720" w:right="-900" w:firstLine="0"/>
      <w:rPr/>
    </w:pPr>
    <w:r w:rsidDel="00000000" w:rsidR="00000000" w:rsidRPr="00000000">
      <w:rPr>
        <w:rtl w:val="0"/>
      </w:rPr>
      <w:t xml:space="preserve">Revised (6/20/22)</w:t>
      <w:tab/>
      <w:tab/>
      <w:tab/>
      <w:tab/>
      <w:tab/>
      <w:tab/>
      <w:tab/>
      <w:tab/>
      <w:tab/>
      <w:tab/>
      <w:tab/>
      <w:t xml:space="preserve">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ind w:left="-900" w:right="450" w:firstLine="0"/>
      <w:rPr/>
    </w:pPr>
    <w:r w:rsidDel="00000000" w:rsidR="00000000" w:rsidRPr="00000000">
      <w:rPr/>
      <w:drawing>
        <wp:inline distB="114300" distT="114300" distL="114300" distR="114300">
          <wp:extent cx="7072313" cy="6056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ageBreakBefore w:val="0"/>
      <w:ind w:left="-990" w:firstLine="90"/>
      <w:rPr/>
    </w:pPr>
    <w:r w:rsidDel="00000000" w:rsidR="00000000" w:rsidRPr="00000000">
      <w:rPr/>
      <w:drawing>
        <wp:inline distB="114300" distT="114300" distL="114300" distR="114300">
          <wp:extent cx="7015163" cy="63182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